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/>
      </w:tblPr>
      <w:tblGrid>
        <w:gridCol w:w="4927"/>
        <w:gridCol w:w="4927"/>
      </w:tblGrid>
      <w:tr>
        <w:trPr>
          <w:cantSplit w:val="false"/>
        </w:trPr>
        <w:tc>
          <w:tcPr>
            <w:tcW w:type="dxa" w:w="4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44"/>
                <w:lang w:val="en-US"/>
              </w:rPr>
              <w:drawing>
                <wp:inline distB="0" distL="0" distR="0" distT="0">
                  <wp:extent cx="2143125" cy="619125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44"/>
              </w:rPr>
              <w:t>Анкета Представителя</w:t>
            </w:r>
          </w:p>
        </w:tc>
      </w:tr>
    </w:tbl>
    <w:p>
      <w:pPr>
        <w:pStyle w:val="style0"/>
        <w:jc w:val="center"/>
      </w:pPr>
      <w:r>
        <w:rPr>
          <w:b/>
          <w:bCs/>
          <w:sz w:val="36"/>
          <w:szCs w:val="44"/>
        </w:rPr>
      </w:r>
    </w:p>
    <w:tbl>
      <w:tblPr>
        <w:jc w:val="left"/>
        <w:tblInd w:type="dxa" w:w="-152"/>
        <w:tblBorders>
          <w:top w:color="000000" w:space="0" w:sz="8" w:val="single"/>
          <w:left w:color="000000" w:space="0" w:sz="8" w:val="single"/>
          <w:bottom w:color="000000" w:space="0" w:sz="8" w:val="single"/>
        </w:tblBorders>
      </w:tblPr>
      <w:tblGrid>
        <w:gridCol w:w="3066"/>
        <w:gridCol w:w="7444"/>
      </w:tblGrid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Юридический адрес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Количество торговых точек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Фактические адреса точек</w:t>
            </w:r>
          </w:p>
          <w:p>
            <w:pPr>
              <w:pStyle w:val="style26"/>
            </w:pPr>
            <w:r>
              <w:rPr>
                <w:b/>
                <w:bCs/>
                <w:sz w:val="36"/>
                <w:szCs w:val="44"/>
                <w:lang w:val="en-US"/>
              </w:rPr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Телефоны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sz w:val="36"/>
                <w:szCs w:val="44"/>
              </w:rPr>
              <w:t>+7(</w:t>
            </w:r>
            <w:r>
              <w:rPr>
                <w:sz w:val="36"/>
                <w:szCs w:val="44"/>
                <w:lang w:val="en-US"/>
              </w:rPr>
              <w:t xml:space="preserve">   </w:t>
            </w:r>
            <w:r>
              <w:rPr>
                <w:sz w:val="36"/>
                <w:szCs w:val="44"/>
              </w:rPr>
              <w:t>)  ,</w:t>
            </w:r>
            <w:r>
              <w:rPr>
                <w:sz w:val="36"/>
                <w:szCs w:val="44"/>
                <w:lang w:val="en-US"/>
              </w:rPr>
              <w:t xml:space="preserve"> +7</w:t>
            </w:r>
            <w:r>
              <w:rPr>
                <w:sz w:val="36"/>
                <w:szCs w:val="44"/>
              </w:rPr>
              <w:t>(</w:t>
            </w:r>
            <w:r>
              <w:rPr>
                <w:sz w:val="36"/>
                <w:szCs w:val="44"/>
                <w:lang w:val="en-US"/>
              </w:rPr>
              <w:t xml:space="preserve">   )</w:t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ФИО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Действует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sz w:val="36"/>
                <w:szCs w:val="44"/>
              </w:rPr>
              <w:t>На основании свидетельства о регистрации/устава (указать)</w:t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ИНН</w:t>
            </w:r>
            <w:r>
              <w:rPr>
                <w:b/>
                <w:bCs/>
                <w:sz w:val="36"/>
                <w:szCs w:val="44"/>
                <w:lang w:val="en-US"/>
              </w:rPr>
              <w:t xml:space="preserve"> </w:t>
            </w:r>
            <w:r>
              <w:rPr>
                <w:b/>
                <w:bCs/>
                <w:sz w:val="36"/>
                <w:szCs w:val="44"/>
              </w:rPr>
              <w:t>ИП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color w:val="000000"/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Расчетный счет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color w:val="000000"/>
                <w:sz w:val="36"/>
                <w:szCs w:val="4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Банк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Адрес банка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Корр. счет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БИК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  <w:lang w:val="en-US"/>
              </w:rPr>
              <w:t>Email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napToGrid w:val="false"/>
            </w:pPr>
            <w:r>
              <w:rPr>
                <w:sz w:val="36"/>
                <w:szCs w:val="44"/>
              </w:rPr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Уровень партнёрства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sz w:val="36"/>
                <w:szCs w:val="44"/>
              </w:rPr>
              <w:t>[  ] Представительство</w:t>
            </w:r>
          </w:p>
          <w:p>
            <w:pPr>
              <w:pStyle w:val="style26"/>
            </w:pPr>
            <w:r>
              <w:rPr>
                <w:sz w:val="36"/>
                <w:szCs w:val="44"/>
              </w:rPr>
              <w:t>[  ] Поставки в магазин</w:t>
            </w:r>
          </w:p>
          <w:p>
            <w:pPr>
              <w:pStyle w:val="style26"/>
            </w:pPr>
            <w:r>
              <w:rPr>
                <w:sz w:val="36"/>
                <w:szCs w:val="44"/>
              </w:rPr>
              <w:t>[  ] Стол заказов запчастей</w:t>
            </w:r>
          </w:p>
        </w:tc>
      </w:tr>
      <w:tr>
        <w:trPr>
          <w:cantSplit w:val="false"/>
        </w:trPr>
        <w:tc>
          <w:tcPr>
            <w:tcW w:type="dxa" w:w="306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b/>
                <w:bCs/>
                <w:sz w:val="36"/>
                <w:szCs w:val="44"/>
              </w:rPr>
              <w:t>Среднемесячный оборот руб:</w:t>
            </w:r>
          </w:p>
        </w:tc>
        <w:tc>
          <w:tcPr>
            <w:tcW w:type="dxa" w:w="744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sz w:val="36"/>
                <w:szCs w:val="44"/>
              </w:rPr>
              <w:t>[  ] меньше 100.000</w:t>
            </w:r>
          </w:p>
          <w:p>
            <w:pPr>
              <w:pStyle w:val="style26"/>
            </w:pPr>
            <w:r>
              <w:rPr>
                <w:sz w:val="36"/>
                <w:szCs w:val="44"/>
              </w:rPr>
              <w:t>[  ] 100.000-200.000</w:t>
            </w:r>
          </w:p>
          <w:p>
            <w:pPr>
              <w:pStyle w:val="style26"/>
            </w:pPr>
            <w:r>
              <w:rPr>
                <w:sz w:val="36"/>
                <w:szCs w:val="44"/>
              </w:rPr>
              <w:t>[  ] 200.000-400.000</w:t>
            </w:r>
          </w:p>
          <w:p>
            <w:pPr>
              <w:pStyle w:val="style26"/>
            </w:pPr>
            <w:r>
              <w:rPr>
                <w:sz w:val="36"/>
                <w:szCs w:val="44"/>
              </w:rPr>
              <w:t>[  ] 400.000-600.000</w:t>
            </w:r>
          </w:p>
          <w:p>
            <w:pPr>
              <w:pStyle w:val="style26"/>
            </w:pPr>
            <w:r>
              <w:rPr>
                <w:sz w:val="36"/>
                <w:szCs w:val="44"/>
              </w:rPr>
              <w:t>[  ] больше 600.000</w:t>
            </w:r>
          </w:p>
        </w:tc>
      </w:tr>
    </w:tbl>
    <w:p>
      <w:pPr>
        <w:pStyle w:val="style0"/>
      </w:pPr>
      <w:r>
        <w:rPr>
          <w:sz w:val="36"/>
          <w:szCs w:val="44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;宋体" w:hAnsi="Times New Roman"/>
      <w:color w:val="auto"/>
      <w:sz w:val="24"/>
      <w:szCs w:val="24"/>
      <w:lang w:bidi="hi-IN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Internet Link"/>
    <w:next w:val="style16"/>
    <w:rPr>
      <w:color w:val="0000FF"/>
      <w:u w:val="single"/>
    </w:rPr>
  </w:style>
  <w:style w:styleId="style17" w:type="paragraph">
    <w:name w:val="Heading"/>
    <w:basedOn w:val="style22"/>
    <w:next w:val="style23"/>
    <w:pPr/>
    <w:rPr/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Subtitle"/>
    <w:basedOn w:val="style22"/>
    <w:next w:val="style18"/>
    <w:pPr>
      <w:jc w:val="center"/>
    </w:pPr>
    <w:rPr>
      <w:i/>
      <w:iCs/>
      <w:sz w:val="28"/>
      <w:szCs w:val="28"/>
    </w:rPr>
  </w:style>
  <w:style w:styleId="style24" w:type="paragraph">
    <w:name w:val="Название1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1"/>
    <w:basedOn w:val="style0"/>
    <w:next w:val="style25"/>
    <w:pPr>
      <w:suppressLineNumbers/>
    </w:pPr>
    <w:rPr>
      <w:rFonts w:cs="Mangal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suppressLineNumbers/>
      <w:jc w:val="center"/>
    </w:pPr>
    <w:rPr>
      <w:b/>
      <w:bCs/>
    </w:rPr>
  </w:style>
  <w:style w:styleId="style28" w:type="paragraph">
    <w:name w:val="Table Contents"/>
    <w:basedOn w:val="style0"/>
    <w:next w:val="style28"/>
    <w:pPr>
      <w:suppressLineNumbers/>
    </w:pPr>
    <w:rPr/>
  </w:style>
  <w:style w:styleId="style29" w:type="paragraph">
    <w:name w:val="Table Heading"/>
    <w:basedOn w:val="style28"/>
    <w:next w:val="style2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2013-01-24T14:31:49.00Z</dcterms:created>
  <dc:creator>user </dc:creator>
  <cp:lastModifiedBy>Admin</cp:lastModifiedBy>
  <cp:lastPrinted>2012-06-08T10:03:00.00Z</cp:lastPrinted>
  <dcterms:modified xsi:type="dcterms:W3CDTF">2013-01-18T15:07:00.00Z</dcterms:modified>
  <cp:revision>22</cp:revision>
</cp:coreProperties>
</file>